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A8" w:rsidRPr="00191578" w:rsidRDefault="00B96EA8" w:rsidP="00B96EA8">
      <w:pPr>
        <w:jc w:val="center"/>
        <w:rPr>
          <w:rFonts w:ascii="Century Gothic" w:hAnsi="Century Gothic"/>
          <w:b/>
          <w:sz w:val="24"/>
        </w:rPr>
      </w:pPr>
      <w:bookmarkStart w:id="0" w:name="_GoBack"/>
      <w:bookmarkEnd w:id="0"/>
      <w:r w:rsidRPr="00191578">
        <w:rPr>
          <w:rFonts w:ascii="Century Gothic" w:hAnsi="Century Gothic"/>
          <w:b/>
          <w:sz w:val="24"/>
        </w:rPr>
        <w:t>Constitución Política de</w:t>
      </w:r>
      <w:r>
        <w:rPr>
          <w:rFonts w:ascii="Century Gothic" w:hAnsi="Century Gothic"/>
          <w:b/>
          <w:sz w:val="24"/>
        </w:rPr>
        <w:t>l Estado de Jalisco</w:t>
      </w:r>
    </w:p>
    <w:p w:rsidR="00B96EA8" w:rsidRDefault="00B96EA8" w:rsidP="00B96EA8">
      <w:pPr>
        <w:spacing w:line="240" w:lineRule="auto"/>
        <w:jc w:val="center"/>
        <w:rPr>
          <w:rFonts w:ascii="Century Gothic" w:hAnsi="Century Gothic"/>
          <w:b/>
        </w:rPr>
      </w:pPr>
      <w:r>
        <w:rPr>
          <w:rFonts w:ascii="Century Gothic" w:hAnsi="Century Gothic"/>
          <w:b/>
        </w:rPr>
        <w:t xml:space="preserve">Artículos aplicables a la función del </w:t>
      </w:r>
      <w:r>
        <w:rPr>
          <w:rFonts w:ascii="Century Gothic" w:hAnsi="Century Gothic"/>
          <w:b/>
        </w:rPr>
        <w:br/>
      </w:r>
      <w:r w:rsidRPr="00191578">
        <w:rPr>
          <w:rFonts w:ascii="Century Gothic" w:hAnsi="Century Gothic"/>
          <w:b/>
        </w:rPr>
        <w:t xml:space="preserve">Instituto de Transparencia, Información Pública y </w:t>
      </w:r>
      <w:r>
        <w:rPr>
          <w:rFonts w:ascii="Century Gothic" w:hAnsi="Century Gothic"/>
          <w:b/>
        </w:rPr>
        <w:br/>
      </w:r>
      <w:r w:rsidRPr="00191578">
        <w:rPr>
          <w:rFonts w:ascii="Century Gothic" w:hAnsi="Century Gothic"/>
          <w:b/>
        </w:rPr>
        <w:t>Protección de Datos Personales del Estado de Jalisco</w:t>
      </w:r>
    </w:p>
    <w:p w:rsidR="00B96EA8" w:rsidRDefault="00B96EA8" w:rsidP="00B96EA8">
      <w:pPr>
        <w:jc w:val="both"/>
        <w:rPr>
          <w:rFonts w:ascii="Century Gothic" w:hAnsi="Century Gothic"/>
          <w:b/>
          <w:sz w:val="24"/>
        </w:rPr>
      </w:pPr>
      <w:r>
        <w:rPr>
          <w:rFonts w:ascii="Century Gothic" w:hAnsi="Century Gothic"/>
          <w:b/>
          <w:sz w:val="24"/>
        </w:rPr>
        <w:t>A</w:t>
      </w:r>
      <w:r w:rsidRPr="00B96EA8">
        <w:rPr>
          <w:rFonts w:ascii="Century Gothic" w:hAnsi="Century Gothic"/>
          <w:b/>
          <w:sz w:val="24"/>
        </w:rPr>
        <w:t xml:space="preserve">rtículos 4°, </w:t>
      </w:r>
      <w:r w:rsidR="003A2227">
        <w:rPr>
          <w:rFonts w:ascii="Century Gothic" w:hAnsi="Century Gothic"/>
          <w:b/>
          <w:sz w:val="24"/>
        </w:rPr>
        <w:t>párrafo quinto</w:t>
      </w:r>
      <w:r>
        <w:rPr>
          <w:rFonts w:ascii="Century Gothic" w:hAnsi="Century Gothic"/>
          <w:b/>
          <w:sz w:val="24"/>
        </w:rPr>
        <w:t>,</w:t>
      </w:r>
      <w:r w:rsidRPr="00B96EA8">
        <w:rPr>
          <w:rFonts w:ascii="Century Gothic" w:hAnsi="Century Gothic"/>
          <w:b/>
          <w:sz w:val="24"/>
        </w:rPr>
        <w:t xml:space="preserve"> 7</w:t>
      </w:r>
      <w:r>
        <w:rPr>
          <w:rFonts w:ascii="Century Gothic" w:hAnsi="Century Gothic"/>
          <w:b/>
          <w:sz w:val="24"/>
        </w:rPr>
        <w:t>°</w:t>
      </w:r>
      <w:r w:rsidRPr="00B96EA8">
        <w:rPr>
          <w:rFonts w:ascii="Century Gothic" w:hAnsi="Century Gothic"/>
          <w:b/>
          <w:sz w:val="24"/>
        </w:rPr>
        <w:t>, párrafo segundo, 9°, 15 frac</w:t>
      </w:r>
      <w:r w:rsidR="00B67026">
        <w:rPr>
          <w:rFonts w:ascii="Century Gothic" w:hAnsi="Century Gothic"/>
          <w:b/>
          <w:sz w:val="24"/>
        </w:rPr>
        <w:t>ciones IX y X, párrafo segundo</w:t>
      </w:r>
      <w:r>
        <w:rPr>
          <w:rFonts w:ascii="Century Gothic" w:hAnsi="Century Gothic"/>
          <w:b/>
          <w:sz w:val="24"/>
        </w:rPr>
        <w:t>.</w:t>
      </w:r>
    </w:p>
    <w:p w:rsidR="003A2227" w:rsidRPr="003A2227" w:rsidRDefault="00B67026"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B67026">
        <w:rPr>
          <w:rFonts w:ascii="Century Gothic" w:eastAsia="Times New Roman" w:hAnsi="Century Gothic" w:cs="Arial"/>
          <w:b/>
          <w:bCs/>
          <w:spacing w:val="-3"/>
          <w:sz w:val="20"/>
          <w:szCs w:val="20"/>
          <w:lang w:val="es-ES_tradnl" w:eastAsia="es-ES"/>
        </w:rPr>
        <w:t>Artículo 4º</w:t>
      </w:r>
      <w:r w:rsidRPr="00B67026">
        <w:rPr>
          <w:rFonts w:ascii="Century Gothic" w:eastAsia="Times New Roman" w:hAnsi="Century Gothic" w:cs="Arial"/>
          <w:spacing w:val="-3"/>
          <w:sz w:val="20"/>
          <w:szCs w:val="20"/>
          <w:lang w:val="es-ES_tradnl" w:eastAsia="es-ES"/>
        </w:rPr>
        <w:t xml:space="preserve">.- </w:t>
      </w:r>
      <w:r w:rsidR="003A2227" w:rsidRPr="003A2227">
        <w:rPr>
          <w:rFonts w:ascii="Century Gothic" w:eastAsia="Times New Roman" w:hAnsi="Century Gothic" w:cs="Arial"/>
          <w:spacing w:val="-3"/>
          <w:sz w:val="20"/>
          <w:szCs w:val="20"/>
          <w:lang w:val="es-ES_tradnl" w:eastAsia="es-ES"/>
        </w:rPr>
        <w:t>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Las normas relativas a los derechos humanos se interpretarán de conformidad con esta Constitución, la Constitución Política de los Estados Unidos Mexicanos y los tratados internacionales de la materia, favoreciendo en todo tiempo a las personas la protección más amplia.</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 xml:space="preserve">El derecho a la información pública y la protección de datos personales será garantizado por el Estado en los términos de lo que establecen la Constitución Política de los Estados Unidos </w:t>
      </w:r>
      <w:r w:rsidRPr="003A2227">
        <w:rPr>
          <w:rFonts w:ascii="Century Gothic" w:eastAsia="Times New Roman" w:hAnsi="Century Gothic" w:cs="Arial"/>
          <w:spacing w:val="-3"/>
          <w:sz w:val="20"/>
          <w:szCs w:val="20"/>
          <w:lang w:val="es-ES_tradnl" w:eastAsia="es-ES"/>
        </w:rPr>
        <w:lastRenderedPageBreak/>
        <w:t xml:space="preserve">Mexicanos, los tratados internacionales de los que el Estado Mexicano sea parte, esta Constitución y las leyes en la materia. </w:t>
      </w:r>
    </w:p>
    <w:p w:rsidR="003A2227" w:rsidRPr="003A2227" w:rsidRDefault="003A2227" w:rsidP="003A2227">
      <w:pPr>
        <w:suppressAutoHyphens/>
        <w:spacing w:before="240" w:after="80" w:line="240" w:lineRule="auto"/>
        <w:jc w:val="both"/>
        <w:rPr>
          <w:rFonts w:ascii="Century Gothic" w:eastAsia="Times New Roman" w:hAnsi="Century Gothic" w:cs="Arial"/>
          <w:spacing w:val="-3"/>
          <w:sz w:val="20"/>
          <w:szCs w:val="20"/>
          <w:lang w:val="es-ES_tradnl" w:eastAsia="es-ES"/>
        </w:rPr>
      </w:pPr>
      <w:r w:rsidRPr="003A2227">
        <w:rPr>
          <w:rFonts w:ascii="Century Gothic" w:eastAsia="Times New Roman" w:hAnsi="Century Gothic" w:cs="Arial"/>
          <w:spacing w:val="-3"/>
          <w:sz w:val="20"/>
          <w:szCs w:val="20"/>
          <w:lang w:val="es-ES_tradnl" w:eastAsia="es-ES"/>
        </w:rPr>
        <w:t xml:space="preserve">Esta Constitución reconoce el derecho humano a la participación ciudadana. </w:t>
      </w:r>
    </w:p>
    <w:p w:rsidR="00B67026" w:rsidRPr="00B67026" w:rsidRDefault="00B67026" w:rsidP="00B67026">
      <w:pPr>
        <w:spacing w:before="80" w:after="80" w:line="240" w:lineRule="auto"/>
        <w:jc w:val="both"/>
        <w:rPr>
          <w:rFonts w:ascii="Century Gothic" w:eastAsia="Times New Roman" w:hAnsi="Century Gothic" w:cs="Arial"/>
          <w:sz w:val="20"/>
          <w:szCs w:val="20"/>
          <w:lang w:val="es-ES_tradnl" w:eastAsia="es-ES"/>
        </w:rPr>
      </w:pPr>
      <w:r>
        <w:rPr>
          <w:rFonts w:ascii="Century Gothic" w:eastAsia="Times New Roman" w:hAnsi="Century Gothic" w:cs="Arial"/>
          <w:sz w:val="20"/>
          <w:szCs w:val="20"/>
          <w:lang w:val="es-ES_tradnl" w:eastAsia="es-ES"/>
        </w:rPr>
        <w:t>…</w:t>
      </w:r>
    </w:p>
    <w:p w:rsidR="0058386C" w:rsidRPr="0058386C" w:rsidRDefault="00B67026" w:rsidP="0058386C">
      <w:pPr>
        <w:spacing w:before="240" w:after="80" w:line="240" w:lineRule="auto"/>
        <w:jc w:val="both"/>
        <w:rPr>
          <w:rFonts w:ascii="Century Gothic" w:eastAsia="Times New Roman" w:hAnsi="Century Gothic" w:cs="Arial"/>
          <w:bCs/>
          <w:sz w:val="20"/>
          <w:szCs w:val="20"/>
          <w:lang w:val="es-ES_tradnl" w:eastAsia="es-ES"/>
        </w:rPr>
      </w:pPr>
      <w:r w:rsidRPr="00B67026">
        <w:rPr>
          <w:rFonts w:ascii="Century Gothic" w:eastAsia="Times New Roman" w:hAnsi="Century Gothic" w:cs="Arial"/>
          <w:b/>
          <w:bCs/>
          <w:sz w:val="20"/>
          <w:szCs w:val="20"/>
          <w:lang w:val="es-ES_tradnl" w:eastAsia="es-ES"/>
        </w:rPr>
        <w:t xml:space="preserve">Artículo 7°. </w:t>
      </w:r>
      <w:r w:rsidR="0058386C" w:rsidRPr="0058386C">
        <w:rPr>
          <w:rFonts w:ascii="Century Gothic" w:eastAsia="Times New Roman" w:hAnsi="Century Gothic" w:cs="Arial"/>
          <w:bCs/>
          <w:sz w:val="20"/>
          <w:szCs w:val="20"/>
          <w:lang w:val="es-ES_tradnl" w:eastAsia="es-ES"/>
        </w:rPr>
        <w:t>Nadie puede ser molestado en su persona, familia, domicilio, papeles o posesiones, sino en virtud de mandamiento escrito de la autoridad competente, que funde y motive la causa legal del procedimiento.</w:t>
      </w:r>
    </w:p>
    <w:p w:rsidR="0058386C" w:rsidRDefault="0058386C" w:rsidP="0058386C">
      <w:pPr>
        <w:spacing w:before="240" w:after="80" w:line="240" w:lineRule="auto"/>
        <w:jc w:val="both"/>
        <w:rPr>
          <w:rFonts w:ascii="Century Gothic" w:eastAsia="Times New Roman" w:hAnsi="Century Gothic" w:cs="Arial"/>
          <w:bCs/>
          <w:sz w:val="20"/>
          <w:szCs w:val="20"/>
          <w:lang w:val="es-ES_tradnl" w:eastAsia="es-ES"/>
        </w:rPr>
      </w:pPr>
      <w:r w:rsidRPr="0058386C">
        <w:rPr>
          <w:rFonts w:ascii="Century Gothic" w:eastAsia="Times New Roman" w:hAnsi="Century Gothic" w:cs="Arial"/>
          <w:bCs/>
          <w:sz w:val="20"/>
          <w:szCs w:val="20"/>
          <w:lang w:val="es-ES_tradnl" w:eastAsia="es-ES"/>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58386C" w:rsidRPr="0058386C" w:rsidRDefault="0058386C" w:rsidP="0058386C">
      <w:pPr>
        <w:spacing w:before="240" w:after="80" w:line="240" w:lineRule="auto"/>
        <w:jc w:val="both"/>
        <w:rPr>
          <w:rFonts w:ascii="Century Gothic" w:eastAsia="Times New Roman" w:hAnsi="Century Gothic" w:cs="Arial"/>
          <w:bCs/>
          <w:sz w:val="20"/>
          <w:szCs w:val="20"/>
          <w:lang w:val="es-ES_tradnl" w:eastAsia="es-ES"/>
        </w:rPr>
      </w:pPr>
      <w:r>
        <w:rPr>
          <w:rFonts w:ascii="Century Gothic" w:eastAsia="Times New Roman" w:hAnsi="Century Gothic" w:cs="Arial"/>
          <w:bCs/>
          <w:sz w:val="20"/>
          <w:szCs w:val="20"/>
          <w:lang w:val="es-ES_tradnl" w:eastAsia="es-ES"/>
        </w:rPr>
        <w:t>…</w:t>
      </w:r>
    </w:p>
    <w:p w:rsidR="0058386C" w:rsidRPr="0058386C" w:rsidRDefault="00B67026" w:rsidP="0058386C">
      <w:pPr>
        <w:spacing w:before="24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b/>
          <w:bCs/>
          <w:sz w:val="20"/>
          <w:szCs w:val="20"/>
          <w:lang w:val="es-ES_tradnl" w:eastAsia="es-ES"/>
        </w:rPr>
        <w:t>Artículo 9º</w:t>
      </w:r>
      <w:r w:rsidRPr="00B67026">
        <w:rPr>
          <w:rFonts w:ascii="Century Gothic" w:eastAsia="Times New Roman" w:hAnsi="Century Gothic" w:cs="Arial"/>
          <w:sz w:val="20"/>
          <w:szCs w:val="20"/>
          <w:lang w:val="es-ES_tradnl" w:eastAsia="es-ES"/>
        </w:rPr>
        <w:t xml:space="preserve">.- </w:t>
      </w:r>
      <w:r w:rsidR="0058386C" w:rsidRPr="0058386C">
        <w:rPr>
          <w:rFonts w:ascii="Century Gothic" w:eastAsia="Times New Roman" w:hAnsi="Century Gothic" w:cs="Arial"/>
          <w:sz w:val="20"/>
          <w:szCs w:val="20"/>
          <w:lang w:val="es-ES_tradnl" w:eastAsia="es-ES"/>
        </w:rPr>
        <w:t>El derecho a la información pública tendrá los siguientes fundamentos:</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 La consolidación del estado democrático y de derecho en Jalisco;</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III. La participación de las personas en la toma de decisiones públicas, mediante el ejercicio del derecho a la información;</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IV. La información pública veraz y oportuna;</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V. La protección de datos personales en posesión de sujetos obligados; y</w:t>
      </w:r>
    </w:p>
    <w:p w:rsidR="0058386C" w:rsidRPr="0058386C" w:rsidRDefault="0058386C" w:rsidP="0058386C">
      <w:pPr>
        <w:spacing w:before="80" w:after="80" w:line="240" w:lineRule="auto"/>
        <w:ind w:left="708"/>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VI. La promoción de la cultura de transparencia, la garantía del derecho a la información y la resolución de las controversias que se susciten por el ejercicio de este derecho a través del Instituto de Transparencia e Información Pública y Protección de Datos Personales del Estado de Jalisco.</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lastRenderedPageBreak/>
        <w:t xml:space="preserve">El Instituto tendrá las atribuciones específicas que la ley le otorgue; sus resoluciones serán definitivas e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 </w:t>
      </w:r>
    </w:p>
    <w:p w:rsidR="0058386C" w:rsidRP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58386C" w:rsidRDefault="0058386C" w:rsidP="0058386C">
      <w:pPr>
        <w:spacing w:before="240" w:after="80" w:line="240" w:lineRule="auto"/>
        <w:jc w:val="both"/>
        <w:rPr>
          <w:rFonts w:ascii="Century Gothic" w:eastAsia="Times New Roman" w:hAnsi="Century Gothic" w:cs="Arial"/>
          <w:sz w:val="20"/>
          <w:szCs w:val="20"/>
          <w:lang w:val="es-ES_tradnl" w:eastAsia="es-ES"/>
        </w:rPr>
      </w:pPr>
      <w:r w:rsidRPr="0058386C">
        <w:rPr>
          <w:rFonts w:ascii="Century Gothic" w:eastAsia="Times New Roman" w:hAnsi="Century Gothic" w:cs="Arial"/>
          <w:sz w:val="20"/>
          <w:szCs w:val="20"/>
          <w:lang w:val="es-ES_tradnl" w:eastAsia="es-ES"/>
        </w:rPr>
        <w:t>El Instituto Nacional de Transparencia, Acceso a la Información y Protección de Datos Personales también conocerá de los recursos de revisión que señale la Ley General en materia de transparencia.</w:t>
      </w:r>
    </w:p>
    <w:p w:rsidR="00B67026" w:rsidRDefault="00B67026" w:rsidP="00B67026">
      <w:pPr>
        <w:pStyle w:val="Textoindependiente2"/>
        <w:tabs>
          <w:tab w:val="clear" w:pos="-720"/>
        </w:tabs>
        <w:spacing w:before="240" w:after="80"/>
        <w:rPr>
          <w:rFonts w:ascii="Century Gothic" w:hAnsi="Century Gothic"/>
          <w:lang w:val="es-ES"/>
        </w:rPr>
      </w:pPr>
      <w:r w:rsidRPr="00B67026">
        <w:rPr>
          <w:rFonts w:ascii="Century Gothic" w:hAnsi="Century Gothic"/>
          <w:b/>
          <w:bCs/>
          <w:lang w:val="es-ES"/>
        </w:rPr>
        <w:t>Artículo 15</w:t>
      </w:r>
      <w:r w:rsidRPr="00B67026">
        <w:rPr>
          <w:rFonts w:ascii="Century Gothic" w:hAnsi="Century Gothic"/>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IX. Las autoridades estatales y municipales promoverán y garantizarán la transparencia y el derecho a la información pública, en el ámbito de su competencia; y</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X.</w:t>
      </w:r>
      <w:r>
        <w:rPr>
          <w:rFonts w:ascii="Century Gothic" w:eastAsia="Times New Roman" w:hAnsi="Century Gothic" w:cs="Arial"/>
          <w:sz w:val="20"/>
          <w:szCs w:val="20"/>
          <w:lang w:eastAsia="en-US"/>
        </w:rPr>
        <w:t xml:space="preserve"> ..</w:t>
      </w:r>
      <w:r w:rsidRPr="00B67026">
        <w:rPr>
          <w:rFonts w:ascii="Century Gothic" w:eastAsia="Times New Roman" w:hAnsi="Century Gothic" w:cs="Arial"/>
          <w:sz w:val="20"/>
          <w:szCs w:val="20"/>
          <w:lang w:eastAsia="en-US"/>
        </w:rPr>
        <w:t>.</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B96EA8" w:rsidRPr="00B67026" w:rsidRDefault="00B96EA8" w:rsidP="00B67026">
      <w:pPr>
        <w:spacing w:before="80" w:after="80" w:line="240" w:lineRule="auto"/>
        <w:ind w:left="708"/>
        <w:jc w:val="both"/>
        <w:rPr>
          <w:rFonts w:ascii="Century Gothic" w:eastAsia="Times New Roman" w:hAnsi="Century Gothic" w:cs="Arial"/>
          <w:sz w:val="20"/>
          <w:szCs w:val="20"/>
          <w:lang w:eastAsia="en-US"/>
        </w:rPr>
      </w:pPr>
    </w:p>
    <w:sectPr w:rsidR="00B96EA8" w:rsidRPr="00B67026" w:rsidSect="00E553FD">
      <w:headerReference w:type="default" r:id="rId6"/>
      <w:footerReference w:type="default" r:id="rId7"/>
      <w:pgSz w:w="12240" w:h="15840" w:code="1"/>
      <w:pgMar w:top="2552" w:right="1701" w:bottom="1701" w:left="1701" w:header="709" w:footer="10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70" w:rsidRDefault="00170F70" w:rsidP="00232351">
      <w:pPr>
        <w:spacing w:after="0" w:line="240" w:lineRule="auto"/>
      </w:pPr>
      <w:r>
        <w:separator/>
      </w:r>
    </w:p>
  </w:endnote>
  <w:endnote w:type="continuationSeparator" w:id="0">
    <w:p w:rsidR="00170F70" w:rsidRDefault="00170F70"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szCs w:val="18"/>
      </w:rPr>
      <w:id w:val="-1733770999"/>
      <w:docPartObj>
        <w:docPartGallery w:val="Page Numbers (Bottom of Page)"/>
        <w:docPartUnique/>
      </w:docPartObj>
    </w:sdtPr>
    <w:sdtEndPr/>
    <w:sdtContent>
      <w:sdt>
        <w:sdtPr>
          <w:rPr>
            <w:rFonts w:ascii="Century Gothic" w:hAnsi="Century Gothic"/>
            <w:sz w:val="18"/>
            <w:szCs w:val="18"/>
          </w:rPr>
          <w:id w:val="860082579"/>
          <w:docPartObj>
            <w:docPartGallery w:val="Page Numbers (Top of Page)"/>
            <w:docPartUnique/>
          </w:docPartObj>
        </w:sdtPr>
        <w:sdtEndPr/>
        <w:sdtContent>
          <w:p w:rsidR="00E553FD" w:rsidRPr="00E553FD" w:rsidRDefault="00E553FD" w:rsidP="00E553FD">
            <w:pPr>
              <w:pStyle w:val="Piedepgina"/>
              <w:jc w:val="right"/>
              <w:rPr>
                <w:rFonts w:ascii="Century Gothic" w:hAnsi="Century Gothic"/>
                <w:sz w:val="18"/>
                <w:szCs w:val="18"/>
              </w:rPr>
            </w:pPr>
            <w:r w:rsidRPr="00E553FD">
              <w:rPr>
                <w:rFonts w:ascii="Century Gothic" w:hAnsi="Century Gothic"/>
                <w:sz w:val="18"/>
                <w:szCs w:val="18"/>
                <w:lang w:val="es-ES"/>
              </w:rPr>
              <w:t xml:space="preserve">Página </w:t>
            </w:r>
            <w:r w:rsidRPr="00E553FD">
              <w:rPr>
                <w:rFonts w:ascii="Century Gothic" w:hAnsi="Century Gothic"/>
                <w:bCs/>
                <w:sz w:val="18"/>
                <w:szCs w:val="18"/>
              </w:rPr>
              <w:fldChar w:fldCharType="begin"/>
            </w:r>
            <w:r w:rsidRPr="00E553FD">
              <w:rPr>
                <w:rFonts w:ascii="Century Gothic" w:hAnsi="Century Gothic"/>
                <w:bCs/>
                <w:sz w:val="18"/>
                <w:szCs w:val="18"/>
              </w:rPr>
              <w:instrText>PAGE</w:instrText>
            </w:r>
            <w:r w:rsidRPr="00E553FD">
              <w:rPr>
                <w:rFonts w:ascii="Century Gothic" w:hAnsi="Century Gothic"/>
                <w:bCs/>
                <w:sz w:val="18"/>
                <w:szCs w:val="18"/>
              </w:rPr>
              <w:fldChar w:fldCharType="separate"/>
            </w:r>
            <w:r w:rsidR="00321F01">
              <w:rPr>
                <w:rFonts w:ascii="Century Gothic" w:hAnsi="Century Gothic"/>
                <w:bCs/>
                <w:noProof/>
                <w:sz w:val="18"/>
                <w:szCs w:val="18"/>
              </w:rPr>
              <w:t>1</w:t>
            </w:r>
            <w:r w:rsidRPr="00E553FD">
              <w:rPr>
                <w:rFonts w:ascii="Century Gothic" w:hAnsi="Century Gothic"/>
                <w:bCs/>
                <w:sz w:val="18"/>
                <w:szCs w:val="18"/>
              </w:rPr>
              <w:fldChar w:fldCharType="end"/>
            </w:r>
            <w:r w:rsidRPr="00E553FD">
              <w:rPr>
                <w:rFonts w:ascii="Century Gothic" w:hAnsi="Century Gothic"/>
                <w:sz w:val="18"/>
                <w:szCs w:val="18"/>
                <w:lang w:val="es-ES"/>
              </w:rPr>
              <w:t xml:space="preserve"> de </w:t>
            </w:r>
            <w:r w:rsidRPr="00E553FD">
              <w:rPr>
                <w:rFonts w:ascii="Century Gothic" w:hAnsi="Century Gothic"/>
                <w:bCs/>
                <w:sz w:val="18"/>
                <w:szCs w:val="18"/>
              </w:rPr>
              <w:fldChar w:fldCharType="begin"/>
            </w:r>
            <w:r w:rsidRPr="00E553FD">
              <w:rPr>
                <w:rFonts w:ascii="Century Gothic" w:hAnsi="Century Gothic"/>
                <w:bCs/>
                <w:sz w:val="18"/>
                <w:szCs w:val="18"/>
              </w:rPr>
              <w:instrText>NUMPAGES</w:instrText>
            </w:r>
            <w:r w:rsidRPr="00E553FD">
              <w:rPr>
                <w:rFonts w:ascii="Century Gothic" w:hAnsi="Century Gothic"/>
                <w:bCs/>
                <w:sz w:val="18"/>
                <w:szCs w:val="18"/>
              </w:rPr>
              <w:fldChar w:fldCharType="separate"/>
            </w:r>
            <w:r w:rsidR="00321F01">
              <w:rPr>
                <w:rFonts w:ascii="Century Gothic" w:hAnsi="Century Gothic"/>
                <w:bCs/>
                <w:noProof/>
                <w:sz w:val="18"/>
                <w:szCs w:val="18"/>
              </w:rPr>
              <w:t>3</w:t>
            </w:r>
            <w:r w:rsidRPr="00E553FD">
              <w:rPr>
                <w:rFonts w:ascii="Century Gothic" w:hAnsi="Century Gothic"/>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70" w:rsidRDefault="00170F70" w:rsidP="00232351">
      <w:pPr>
        <w:spacing w:after="0" w:line="240" w:lineRule="auto"/>
      </w:pPr>
      <w:r>
        <w:separator/>
      </w:r>
    </w:p>
  </w:footnote>
  <w:footnote w:type="continuationSeparator" w:id="0">
    <w:p w:rsidR="00170F70" w:rsidRDefault="00170F70" w:rsidP="00232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1" w:rsidRDefault="00232351">
    <w:pPr>
      <w:pStyle w:val="Encabezado"/>
    </w:pPr>
    <w:r>
      <w:rPr>
        <w:noProof/>
      </w:rPr>
      <w:drawing>
        <wp:anchor distT="0" distB="0" distL="114300" distR="114300" simplePos="0" relativeHeight="251658240" behindDoc="1" locked="0" layoutInCell="1" allowOverlap="1" wp14:anchorId="29F16FAC" wp14:editId="2E55D5BA">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51"/>
    <w:rsid w:val="000D4AE4"/>
    <w:rsid w:val="00170F70"/>
    <w:rsid w:val="00220F30"/>
    <w:rsid w:val="00232351"/>
    <w:rsid w:val="00321F01"/>
    <w:rsid w:val="003A2227"/>
    <w:rsid w:val="0058386C"/>
    <w:rsid w:val="007323AC"/>
    <w:rsid w:val="007C0F52"/>
    <w:rsid w:val="007D48E8"/>
    <w:rsid w:val="00B67026"/>
    <w:rsid w:val="00B9531A"/>
    <w:rsid w:val="00B96EA8"/>
    <w:rsid w:val="00CB52C8"/>
    <w:rsid w:val="00E553FD"/>
    <w:rsid w:val="00F42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D073D-0AFE-400D-B92F-3E54D622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Textoindependiente2">
    <w:name w:val="Body Text 2"/>
    <w:basedOn w:val="Normal"/>
    <w:link w:val="Textoindependiente2Car"/>
    <w:uiPriority w:val="99"/>
    <w:rsid w:val="00B67026"/>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B67026"/>
    <w:rPr>
      <w:rFonts w:ascii="Arial" w:eastAsia="Times New Roman" w:hAnsi="Arial" w:cs="Arial"/>
      <w:spacing w:val="-3"/>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Admin</cp:lastModifiedBy>
  <cp:revision>2</cp:revision>
  <dcterms:created xsi:type="dcterms:W3CDTF">2018-03-08T18:37:00Z</dcterms:created>
  <dcterms:modified xsi:type="dcterms:W3CDTF">2018-03-08T18:37:00Z</dcterms:modified>
</cp:coreProperties>
</file>